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976EA" w14:textId="2E5999B7" w:rsidR="00DA2AD7" w:rsidRPr="00043C27" w:rsidRDefault="00043C27">
      <w:pPr>
        <w:rPr>
          <w:rFonts w:ascii="Times New Roman" w:hAnsi="Times New Roman" w:cs="Times New Roman"/>
        </w:rPr>
      </w:pPr>
      <w:r w:rsidRPr="00043C27">
        <w:rPr>
          <w:rFonts w:ascii="Times New Roman" w:hAnsi="Times New Roman" w:cs="Times New Roman"/>
          <w:b/>
          <w:bCs/>
        </w:rPr>
        <w:t>Supplementary Table 1.</w:t>
      </w:r>
      <w:r w:rsidRPr="00043C27">
        <w:rPr>
          <w:rFonts w:ascii="Times New Roman" w:hAnsi="Times New Roman" w:cs="Times New Roman"/>
        </w:rPr>
        <w:t xml:space="preserve"> Raw and FDR-Adjusted p-Values for Key Study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4"/>
        <w:gridCol w:w="1347"/>
        <w:gridCol w:w="2349"/>
      </w:tblGrid>
      <w:tr w:rsidR="00043C27" w:rsidRPr="00043C27" w14:paraId="048C8729" w14:textId="77777777">
        <w:trPr>
          <w:tblHeader/>
          <w:tblCellSpacing w:w="15" w:type="dxa"/>
        </w:trPr>
        <w:tc>
          <w:tcPr>
            <w:tcW w:w="0" w:type="auto"/>
            <w:vAlign w:val="center"/>
            <w:hideMark/>
          </w:tcPr>
          <w:p w14:paraId="5E750CF5" w14:textId="77777777" w:rsidR="00043C27" w:rsidRPr="00043C27" w:rsidRDefault="00043C27" w:rsidP="00043C27">
            <w:pPr>
              <w:rPr>
                <w:rFonts w:ascii="Times New Roman" w:hAnsi="Times New Roman" w:cs="Times New Roman"/>
                <w:b/>
                <w:bCs/>
              </w:rPr>
            </w:pPr>
            <w:r w:rsidRPr="00043C27">
              <w:rPr>
                <w:rFonts w:ascii="Times New Roman" w:hAnsi="Times New Roman" w:cs="Times New Roman"/>
                <w:b/>
                <w:bCs/>
              </w:rPr>
              <w:t>Outcome</w:t>
            </w:r>
          </w:p>
        </w:tc>
        <w:tc>
          <w:tcPr>
            <w:tcW w:w="0" w:type="auto"/>
            <w:vAlign w:val="center"/>
            <w:hideMark/>
          </w:tcPr>
          <w:p w14:paraId="4B7F0EA3" w14:textId="77777777" w:rsidR="00043C27" w:rsidRPr="00043C27" w:rsidRDefault="00043C27" w:rsidP="00043C27">
            <w:pPr>
              <w:rPr>
                <w:rFonts w:ascii="Times New Roman" w:hAnsi="Times New Roman" w:cs="Times New Roman"/>
                <w:b/>
                <w:bCs/>
              </w:rPr>
            </w:pPr>
            <w:r w:rsidRPr="00043C27">
              <w:rPr>
                <w:rFonts w:ascii="Times New Roman" w:hAnsi="Times New Roman" w:cs="Times New Roman"/>
                <w:b/>
                <w:bCs/>
              </w:rPr>
              <w:t>Raw p-value</w:t>
            </w:r>
          </w:p>
        </w:tc>
        <w:tc>
          <w:tcPr>
            <w:tcW w:w="0" w:type="auto"/>
            <w:vAlign w:val="center"/>
            <w:hideMark/>
          </w:tcPr>
          <w:p w14:paraId="646151D0" w14:textId="77777777" w:rsidR="00043C27" w:rsidRPr="00043C27" w:rsidRDefault="00043C27" w:rsidP="00043C27">
            <w:pPr>
              <w:rPr>
                <w:rFonts w:ascii="Times New Roman" w:hAnsi="Times New Roman" w:cs="Times New Roman"/>
                <w:b/>
                <w:bCs/>
              </w:rPr>
            </w:pPr>
            <w:r w:rsidRPr="00043C27">
              <w:rPr>
                <w:rFonts w:ascii="Times New Roman" w:hAnsi="Times New Roman" w:cs="Times New Roman"/>
                <w:b/>
                <w:bCs/>
              </w:rPr>
              <w:t>FDR-adjusted p-value</w:t>
            </w:r>
          </w:p>
        </w:tc>
      </w:tr>
      <w:tr w:rsidR="00043C27" w:rsidRPr="00043C27" w14:paraId="2D6E2F00" w14:textId="77777777">
        <w:trPr>
          <w:tblCellSpacing w:w="15" w:type="dxa"/>
        </w:trPr>
        <w:tc>
          <w:tcPr>
            <w:tcW w:w="0" w:type="auto"/>
            <w:vAlign w:val="center"/>
            <w:hideMark/>
          </w:tcPr>
          <w:p w14:paraId="1E29E745"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Pediatric overall survival (log-rank)</w:t>
            </w:r>
          </w:p>
        </w:tc>
        <w:tc>
          <w:tcPr>
            <w:tcW w:w="0" w:type="auto"/>
            <w:vAlign w:val="center"/>
            <w:hideMark/>
          </w:tcPr>
          <w:p w14:paraId="4899FE75"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0.951</w:t>
            </w:r>
          </w:p>
        </w:tc>
        <w:tc>
          <w:tcPr>
            <w:tcW w:w="0" w:type="auto"/>
            <w:vAlign w:val="center"/>
            <w:hideMark/>
          </w:tcPr>
          <w:p w14:paraId="56C3B7C7"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0.951</w:t>
            </w:r>
          </w:p>
        </w:tc>
      </w:tr>
      <w:tr w:rsidR="00043C27" w:rsidRPr="00043C27" w14:paraId="663F0504" w14:textId="77777777">
        <w:trPr>
          <w:tblCellSpacing w:w="15" w:type="dxa"/>
        </w:trPr>
        <w:tc>
          <w:tcPr>
            <w:tcW w:w="0" w:type="auto"/>
            <w:vAlign w:val="center"/>
            <w:hideMark/>
          </w:tcPr>
          <w:p w14:paraId="770DE771"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Adult overall survival (log-rank)</w:t>
            </w:r>
          </w:p>
        </w:tc>
        <w:tc>
          <w:tcPr>
            <w:tcW w:w="0" w:type="auto"/>
            <w:vAlign w:val="center"/>
            <w:hideMark/>
          </w:tcPr>
          <w:p w14:paraId="6B74CF16"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0.018</w:t>
            </w:r>
          </w:p>
        </w:tc>
        <w:tc>
          <w:tcPr>
            <w:tcW w:w="0" w:type="auto"/>
            <w:vAlign w:val="center"/>
            <w:hideMark/>
          </w:tcPr>
          <w:p w14:paraId="7B3974B4"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0.063</w:t>
            </w:r>
          </w:p>
        </w:tc>
      </w:tr>
      <w:tr w:rsidR="00043C27" w:rsidRPr="00043C27" w14:paraId="42FBFF0A" w14:textId="77777777">
        <w:trPr>
          <w:tblCellSpacing w:w="15" w:type="dxa"/>
        </w:trPr>
        <w:tc>
          <w:tcPr>
            <w:tcW w:w="0" w:type="auto"/>
            <w:vAlign w:val="center"/>
            <w:hideMark/>
          </w:tcPr>
          <w:p w14:paraId="1AB04C63"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Pediatric treated rejection</w:t>
            </w:r>
          </w:p>
        </w:tc>
        <w:tc>
          <w:tcPr>
            <w:tcW w:w="0" w:type="auto"/>
            <w:vAlign w:val="center"/>
            <w:hideMark/>
          </w:tcPr>
          <w:p w14:paraId="786F34F3"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0.846</w:t>
            </w:r>
          </w:p>
        </w:tc>
        <w:tc>
          <w:tcPr>
            <w:tcW w:w="0" w:type="auto"/>
            <w:vAlign w:val="center"/>
            <w:hideMark/>
          </w:tcPr>
          <w:p w14:paraId="5D4F36F3"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0.951</w:t>
            </w:r>
          </w:p>
        </w:tc>
      </w:tr>
      <w:tr w:rsidR="00043C27" w:rsidRPr="00043C27" w14:paraId="4936B7C6" w14:textId="77777777">
        <w:trPr>
          <w:tblCellSpacing w:w="15" w:type="dxa"/>
        </w:trPr>
        <w:tc>
          <w:tcPr>
            <w:tcW w:w="0" w:type="auto"/>
            <w:vAlign w:val="center"/>
            <w:hideMark/>
          </w:tcPr>
          <w:p w14:paraId="5873F8A6"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Adult treated rejection</w:t>
            </w:r>
          </w:p>
        </w:tc>
        <w:tc>
          <w:tcPr>
            <w:tcW w:w="0" w:type="auto"/>
            <w:vAlign w:val="center"/>
            <w:hideMark/>
          </w:tcPr>
          <w:p w14:paraId="7416E639"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0.067</w:t>
            </w:r>
          </w:p>
        </w:tc>
        <w:tc>
          <w:tcPr>
            <w:tcW w:w="0" w:type="auto"/>
            <w:vAlign w:val="center"/>
            <w:hideMark/>
          </w:tcPr>
          <w:p w14:paraId="2D8B0475"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0.156</w:t>
            </w:r>
          </w:p>
        </w:tc>
      </w:tr>
      <w:tr w:rsidR="00043C27" w:rsidRPr="00043C27" w14:paraId="1CFF75FE" w14:textId="77777777">
        <w:trPr>
          <w:tblCellSpacing w:w="15" w:type="dxa"/>
        </w:trPr>
        <w:tc>
          <w:tcPr>
            <w:tcW w:w="0" w:type="auto"/>
            <w:vAlign w:val="center"/>
            <w:hideMark/>
          </w:tcPr>
          <w:p w14:paraId="5334F468"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Pediatric post-transplant malignancy</w:t>
            </w:r>
          </w:p>
        </w:tc>
        <w:tc>
          <w:tcPr>
            <w:tcW w:w="0" w:type="auto"/>
            <w:vAlign w:val="center"/>
            <w:hideMark/>
          </w:tcPr>
          <w:p w14:paraId="31910C94"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0.449</w:t>
            </w:r>
          </w:p>
        </w:tc>
        <w:tc>
          <w:tcPr>
            <w:tcW w:w="0" w:type="auto"/>
            <w:vAlign w:val="center"/>
            <w:hideMark/>
          </w:tcPr>
          <w:p w14:paraId="249C5898"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0.641</w:t>
            </w:r>
          </w:p>
        </w:tc>
      </w:tr>
      <w:tr w:rsidR="00043C27" w:rsidRPr="00043C27" w14:paraId="16EB9442" w14:textId="77777777">
        <w:trPr>
          <w:tblCellSpacing w:w="15" w:type="dxa"/>
        </w:trPr>
        <w:tc>
          <w:tcPr>
            <w:tcW w:w="0" w:type="auto"/>
            <w:vAlign w:val="center"/>
            <w:hideMark/>
          </w:tcPr>
          <w:p w14:paraId="0F5E62A6"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Adult post-transplant malignancy</w:t>
            </w:r>
          </w:p>
        </w:tc>
        <w:tc>
          <w:tcPr>
            <w:tcW w:w="0" w:type="auto"/>
            <w:vAlign w:val="center"/>
            <w:hideMark/>
          </w:tcPr>
          <w:p w14:paraId="32FB37D2"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0.458</w:t>
            </w:r>
          </w:p>
        </w:tc>
        <w:tc>
          <w:tcPr>
            <w:tcW w:w="0" w:type="auto"/>
            <w:vAlign w:val="center"/>
            <w:hideMark/>
          </w:tcPr>
          <w:p w14:paraId="6A9951FF"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0.641</w:t>
            </w:r>
          </w:p>
        </w:tc>
      </w:tr>
      <w:tr w:rsidR="00043C27" w:rsidRPr="00043C27" w14:paraId="51519579" w14:textId="77777777">
        <w:trPr>
          <w:tblCellSpacing w:w="15" w:type="dxa"/>
        </w:trPr>
        <w:tc>
          <w:tcPr>
            <w:tcW w:w="0" w:type="auto"/>
            <w:vAlign w:val="center"/>
            <w:hideMark/>
          </w:tcPr>
          <w:p w14:paraId="66A35BAD"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Adult cerebrovascular cause of death</w:t>
            </w:r>
          </w:p>
        </w:tc>
        <w:tc>
          <w:tcPr>
            <w:tcW w:w="0" w:type="auto"/>
            <w:vAlign w:val="center"/>
            <w:hideMark/>
          </w:tcPr>
          <w:p w14:paraId="2400E26D"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0.014</w:t>
            </w:r>
          </w:p>
        </w:tc>
        <w:tc>
          <w:tcPr>
            <w:tcW w:w="0" w:type="auto"/>
            <w:vAlign w:val="center"/>
            <w:hideMark/>
          </w:tcPr>
          <w:p w14:paraId="50FB3CA0" w14:textId="77777777" w:rsidR="00043C27" w:rsidRPr="00043C27" w:rsidRDefault="00043C27" w:rsidP="00043C27">
            <w:pPr>
              <w:rPr>
                <w:rFonts w:ascii="Times New Roman" w:hAnsi="Times New Roman" w:cs="Times New Roman"/>
              </w:rPr>
            </w:pPr>
            <w:r w:rsidRPr="00043C27">
              <w:rPr>
                <w:rFonts w:ascii="Times New Roman" w:hAnsi="Times New Roman" w:cs="Times New Roman"/>
              </w:rPr>
              <w:t>0.063</w:t>
            </w:r>
          </w:p>
        </w:tc>
      </w:tr>
    </w:tbl>
    <w:p w14:paraId="16B48A4F" w14:textId="77777777" w:rsidR="00043C27" w:rsidRDefault="00043C27">
      <w:pPr>
        <w:rPr>
          <w:rFonts w:ascii="Times New Roman" w:hAnsi="Times New Roman" w:cs="Times New Roman"/>
        </w:rPr>
      </w:pPr>
    </w:p>
    <w:p w14:paraId="672A1118" w14:textId="52DFB419" w:rsidR="00043C27" w:rsidRDefault="00043C27">
      <w:pPr>
        <w:rPr>
          <w:rFonts w:ascii="Times New Roman" w:hAnsi="Times New Roman" w:cs="Times New Roman"/>
        </w:rPr>
      </w:pPr>
      <w:r>
        <w:rPr>
          <w:rFonts w:ascii="Times New Roman" w:hAnsi="Times New Roman" w:cs="Times New Roman"/>
        </w:rPr>
        <w:t>(</w:t>
      </w:r>
      <w:r w:rsidRPr="00043C27">
        <w:rPr>
          <w:rFonts w:ascii="Times New Roman" w:hAnsi="Times New Roman" w:cs="Times New Roman"/>
        </w:rPr>
        <w:t>Raw p-values are derived from log-rank tests or χ²/Fisher’s exact tests, as appropriate. False discovery rate (FDR)–adjusted p-values were calculated using the Benjamini–Hochberg procedure to account for multiple comparisons across secondary outcomes. FDR-adjusted values are reported for transparency; primary inferences are based on prespecified outcomes.</w:t>
      </w:r>
      <w:r>
        <w:rPr>
          <w:rFonts w:ascii="Times New Roman" w:hAnsi="Times New Roman" w:cs="Times New Roman"/>
        </w:rPr>
        <w:t>)</w:t>
      </w:r>
    </w:p>
    <w:p w14:paraId="070D4DF2" w14:textId="2473EBAC" w:rsidR="001425EB" w:rsidRDefault="001425EB">
      <w:pPr>
        <w:rPr>
          <w:rFonts w:ascii="Times New Roman" w:hAnsi="Times New Roman" w:cs="Times New Roman"/>
        </w:rPr>
      </w:pPr>
      <w:r>
        <w:rPr>
          <w:rFonts w:ascii="Times New Roman" w:hAnsi="Times New Roman" w:cs="Times New Roman"/>
        </w:rPr>
        <w:br w:type="page"/>
      </w:r>
    </w:p>
    <w:p w14:paraId="0E24E627" w14:textId="6820B551" w:rsidR="001425EB" w:rsidRDefault="001425EB">
      <w:pPr>
        <w:rPr>
          <w:rFonts w:ascii="Times New Roman" w:hAnsi="Times New Roman" w:cs="Times New Roman"/>
          <w:b/>
          <w:bCs/>
        </w:rPr>
      </w:pPr>
      <w:r w:rsidRPr="001425EB">
        <w:rPr>
          <w:rFonts w:ascii="Times New Roman" w:hAnsi="Times New Roman" w:cs="Times New Roman"/>
          <w:b/>
          <w:bCs/>
        </w:rPr>
        <w:lastRenderedPageBreak/>
        <w:t>Supplementary Table 2. Sensitiv</w:t>
      </w:r>
      <w:bookmarkStart w:id="0" w:name="_GoBack"/>
      <w:bookmarkEnd w:id="0"/>
      <w:r w:rsidRPr="001425EB">
        <w:rPr>
          <w:rFonts w:ascii="Times New Roman" w:hAnsi="Times New Roman" w:cs="Times New Roman"/>
          <w:b/>
          <w:bCs/>
        </w:rPr>
        <w:t>ity Analyses for Multivariable Survival Models</w:t>
      </w:r>
    </w:p>
    <w:p w14:paraId="13ADEF94" w14:textId="789185D7" w:rsidR="00B668CC" w:rsidRDefault="00B668CC">
      <w:pPr>
        <w:rPr>
          <w:rFonts w:ascii="Times New Roman" w:hAnsi="Times New Roman" w:cs="Times New Roman"/>
          <w:b/>
          <w:bCs/>
        </w:rPr>
      </w:pPr>
      <w:r>
        <w:rPr>
          <w:rFonts w:ascii="Times New Roman" w:hAnsi="Times New Roman" w:cs="Times New Roman"/>
          <w:b/>
          <w:bCs/>
        </w:rPr>
        <w:t>Pediatric recipients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0"/>
        <w:gridCol w:w="3767"/>
        <w:gridCol w:w="2788"/>
        <w:gridCol w:w="705"/>
      </w:tblGrid>
      <w:tr w:rsidR="00B668CC" w:rsidRPr="00B668CC" w14:paraId="085215B3" w14:textId="77777777">
        <w:trPr>
          <w:tblHeader/>
          <w:tblCellSpacing w:w="15" w:type="dxa"/>
        </w:trPr>
        <w:tc>
          <w:tcPr>
            <w:tcW w:w="0" w:type="auto"/>
            <w:vAlign w:val="center"/>
            <w:hideMark/>
          </w:tcPr>
          <w:p w14:paraId="69DFBDA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Model Specification</w:t>
            </w:r>
          </w:p>
        </w:tc>
        <w:tc>
          <w:tcPr>
            <w:tcW w:w="0" w:type="auto"/>
            <w:vAlign w:val="center"/>
            <w:hideMark/>
          </w:tcPr>
          <w:p w14:paraId="477C65C7"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Covariates Included</w:t>
            </w:r>
          </w:p>
        </w:tc>
        <w:tc>
          <w:tcPr>
            <w:tcW w:w="0" w:type="auto"/>
            <w:vAlign w:val="center"/>
            <w:hideMark/>
          </w:tcPr>
          <w:p w14:paraId="0A595DB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Adjusted HR for CIDCM vs. NIDCM (95% CI)</w:t>
            </w:r>
          </w:p>
        </w:tc>
        <w:tc>
          <w:tcPr>
            <w:tcW w:w="0" w:type="auto"/>
            <w:vAlign w:val="center"/>
            <w:hideMark/>
          </w:tcPr>
          <w:p w14:paraId="216DB1FE"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p-value</w:t>
            </w:r>
          </w:p>
        </w:tc>
      </w:tr>
      <w:tr w:rsidR="00B668CC" w:rsidRPr="00B668CC" w14:paraId="227FB695" w14:textId="77777777">
        <w:trPr>
          <w:tblCellSpacing w:w="15" w:type="dxa"/>
        </w:trPr>
        <w:tc>
          <w:tcPr>
            <w:tcW w:w="0" w:type="auto"/>
            <w:vAlign w:val="center"/>
            <w:hideMark/>
          </w:tcPr>
          <w:p w14:paraId="50171EE3"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Primary multivariable model</w:t>
            </w:r>
          </w:p>
        </w:tc>
        <w:tc>
          <w:tcPr>
            <w:tcW w:w="0" w:type="auto"/>
            <w:vAlign w:val="center"/>
            <w:hideMark/>
          </w:tcPr>
          <w:p w14:paraId="2208C069"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Age at transplant, sex, race/ethnicity, VAD use, EBV serostatus</w:t>
            </w:r>
          </w:p>
        </w:tc>
        <w:tc>
          <w:tcPr>
            <w:tcW w:w="0" w:type="auto"/>
            <w:vAlign w:val="center"/>
            <w:hideMark/>
          </w:tcPr>
          <w:p w14:paraId="44CA3CB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0.92 (0.76–1.34)</w:t>
            </w:r>
          </w:p>
        </w:tc>
        <w:tc>
          <w:tcPr>
            <w:tcW w:w="0" w:type="auto"/>
            <w:vAlign w:val="center"/>
            <w:hideMark/>
          </w:tcPr>
          <w:p w14:paraId="1D88C1CE"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0.735</w:t>
            </w:r>
          </w:p>
        </w:tc>
      </w:tr>
      <w:tr w:rsidR="00B668CC" w:rsidRPr="00B668CC" w14:paraId="796F5BFD" w14:textId="77777777">
        <w:trPr>
          <w:tblCellSpacing w:w="15" w:type="dxa"/>
        </w:trPr>
        <w:tc>
          <w:tcPr>
            <w:tcW w:w="0" w:type="auto"/>
            <w:vAlign w:val="center"/>
            <w:hideMark/>
          </w:tcPr>
          <w:p w14:paraId="188C3531"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Complete-case analysis</w:t>
            </w:r>
          </w:p>
        </w:tc>
        <w:tc>
          <w:tcPr>
            <w:tcW w:w="0" w:type="auto"/>
            <w:vAlign w:val="center"/>
            <w:hideMark/>
          </w:tcPr>
          <w:p w14:paraId="55E16214"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Same as primary model, excluding missing EBV/CMV data</w:t>
            </w:r>
          </w:p>
        </w:tc>
        <w:tc>
          <w:tcPr>
            <w:tcW w:w="0" w:type="auto"/>
            <w:vAlign w:val="center"/>
            <w:hideMark/>
          </w:tcPr>
          <w:p w14:paraId="427C8BD5"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0.94 (0.78–1.36)</w:t>
            </w:r>
          </w:p>
        </w:tc>
        <w:tc>
          <w:tcPr>
            <w:tcW w:w="0" w:type="auto"/>
            <w:vAlign w:val="center"/>
            <w:hideMark/>
          </w:tcPr>
          <w:p w14:paraId="3F0D39CE"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0.781</w:t>
            </w:r>
          </w:p>
        </w:tc>
      </w:tr>
      <w:tr w:rsidR="00B668CC" w:rsidRPr="00B668CC" w14:paraId="5EFE3C64" w14:textId="77777777">
        <w:trPr>
          <w:tblCellSpacing w:w="15" w:type="dxa"/>
        </w:trPr>
        <w:tc>
          <w:tcPr>
            <w:tcW w:w="0" w:type="auto"/>
            <w:vAlign w:val="center"/>
            <w:hideMark/>
          </w:tcPr>
          <w:p w14:paraId="4028F60A"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Excluding EBV serostatus</w:t>
            </w:r>
          </w:p>
        </w:tc>
        <w:tc>
          <w:tcPr>
            <w:tcW w:w="0" w:type="auto"/>
            <w:vAlign w:val="center"/>
            <w:hideMark/>
          </w:tcPr>
          <w:p w14:paraId="7E73C4A8"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Age, sex, race/ethnicity, VAD use</w:t>
            </w:r>
          </w:p>
        </w:tc>
        <w:tc>
          <w:tcPr>
            <w:tcW w:w="0" w:type="auto"/>
            <w:vAlign w:val="center"/>
            <w:hideMark/>
          </w:tcPr>
          <w:p w14:paraId="3A4C57DE"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0.93 (0.77–1.35)</w:t>
            </w:r>
          </w:p>
        </w:tc>
        <w:tc>
          <w:tcPr>
            <w:tcW w:w="0" w:type="auto"/>
            <w:vAlign w:val="center"/>
            <w:hideMark/>
          </w:tcPr>
          <w:p w14:paraId="1DD3BCC9"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0.748</w:t>
            </w:r>
          </w:p>
        </w:tc>
      </w:tr>
    </w:tbl>
    <w:p w14:paraId="05FAA56F" w14:textId="77777777" w:rsidR="00B668CC" w:rsidRDefault="00B668CC">
      <w:pPr>
        <w:rPr>
          <w:rFonts w:ascii="Times New Roman" w:hAnsi="Times New Roman" w:cs="Times New Roman"/>
        </w:rPr>
      </w:pPr>
    </w:p>
    <w:p w14:paraId="7FCB7263" w14:textId="1A483BCE" w:rsidR="00B668CC" w:rsidRDefault="00B668CC">
      <w:pPr>
        <w:rPr>
          <w:rFonts w:ascii="Times New Roman" w:hAnsi="Times New Roman" w:cs="Times New Roman"/>
          <w:b/>
          <w:bCs/>
        </w:rPr>
      </w:pPr>
      <w:r w:rsidRPr="00B668CC">
        <w:rPr>
          <w:rFonts w:ascii="Times New Roman" w:hAnsi="Times New Roman" w:cs="Times New Roman"/>
          <w:b/>
          <w:bCs/>
        </w:rPr>
        <w:t>Adult Recipients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3868"/>
        <w:gridCol w:w="2719"/>
        <w:gridCol w:w="701"/>
      </w:tblGrid>
      <w:tr w:rsidR="00B668CC" w:rsidRPr="00B668CC" w14:paraId="025AA185" w14:textId="77777777">
        <w:trPr>
          <w:tblHeader/>
          <w:tblCellSpacing w:w="15" w:type="dxa"/>
        </w:trPr>
        <w:tc>
          <w:tcPr>
            <w:tcW w:w="0" w:type="auto"/>
            <w:vAlign w:val="center"/>
            <w:hideMark/>
          </w:tcPr>
          <w:p w14:paraId="39FAF285"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Model Specification</w:t>
            </w:r>
          </w:p>
        </w:tc>
        <w:tc>
          <w:tcPr>
            <w:tcW w:w="0" w:type="auto"/>
            <w:vAlign w:val="center"/>
            <w:hideMark/>
          </w:tcPr>
          <w:p w14:paraId="6B3698C1"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Covariates Included</w:t>
            </w:r>
          </w:p>
        </w:tc>
        <w:tc>
          <w:tcPr>
            <w:tcW w:w="0" w:type="auto"/>
            <w:vAlign w:val="center"/>
            <w:hideMark/>
          </w:tcPr>
          <w:p w14:paraId="288F060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Adjusted HR for CIDCM vs. NIDCM (95% CI)</w:t>
            </w:r>
          </w:p>
        </w:tc>
        <w:tc>
          <w:tcPr>
            <w:tcW w:w="0" w:type="auto"/>
            <w:vAlign w:val="center"/>
            <w:hideMark/>
          </w:tcPr>
          <w:p w14:paraId="11E7BD6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p-value</w:t>
            </w:r>
          </w:p>
        </w:tc>
      </w:tr>
      <w:tr w:rsidR="00B668CC" w:rsidRPr="00B668CC" w14:paraId="402BFEB4" w14:textId="77777777">
        <w:trPr>
          <w:tblCellSpacing w:w="15" w:type="dxa"/>
        </w:trPr>
        <w:tc>
          <w:tcPr>
            <w:tcW w:w="0" w:type="auto"/>
            <w:vAlign w:val="center"/>
            <w:hideMark/>
          </w:tcPr>
          <w:p w14:paraId="69F31127"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Primary multivariable model</w:t>
            </w:r>
          </w:p>
        </w:tc>
        <w:tc>
          <w:tcPr>
            <w:tcW w:w="0" w:type="auto"/>
            <w:vAlign w:val="center"/>
            <w:hideMark/>
          </w:tcPr>
          <w:p w14:paraId="2CE5FAF6"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Age, sex, race/ethnicity, BMI, VAD use at transplant, transplant era</w:t>
            </w:r>
          </w:p>
        </w:tc>
        <w:tc>
          <w:tcPr>
            <w:tcW w:w="0" w:type="auto"/>
            <w:vAlign w:val="center"/>
            <w:hideMark/>
          </w:tcPr>
          <w:p w14:paraId="0DD9682B"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0.78 (0.64–0.96)</w:t>
            </w:r>
          </w:p>
        </w:tc>
        <w:tc>
          <w:tcPr>
            <w:tcW w:w="0" w:type="auto"/>
            <w:vAlign w:val="center"/>
            <w:hideMark/>
          </w:tcPr>
          <w:p w14:paraId="687DE0F5"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0.018</w:t>
            </w:r>
          </w:p>
        </w:tc>
      </w:tr>
      <w:tr w:rsidR="00B668CC" w:rsidRPr="00B668CC" w14:paraId="442BBA99" w14:textId="77777777">
        <w:trPr>
          <w:tblCellSpacing w:w="15" w:type="dxa"/>
        </w:trPr>
        <w:tc>
          <w:tcPr>
            <w:tcW w:w="0" w:type="auto"/>
            <w:vAlign w:val="center"/>
            <w:hideMark/>
          </w:tcPr>
          <w:p w14:paraId="72D72836"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Complete-case analysis</w:t>
            </w:r>
          </w:p>
        </w:tc>
        <w:tc>
          <w:tcPr>
            <w:tcW w:w="0" w:type="auto"/>
            <w:vAlign w:val="center"/>
            <w:hideMark/>
          </w:tcPr>
          <w:p w14:paraId="432EA43E"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Same as primary model, excluding cases with missing covariates</w:t>
            </w:r>
          </w:p>
        </w:tc>
        <w:tc>
          <w:tcPr>
            <w:tcW w:w="0" w:type="auto"/>
            <w:vAlign w:val="center"/>
            <w:hideMark/>
          </w:tcPr>
          <w:p w14:paraId="6F5FA57A"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0.80 (0.66–0.98)</w:t>
            </w:r>
          </w:p>
        </w:tc>
        <w:tc>
          <w:tcPr>
            <w:tcW w:w="0" w:type="auto"/>
            <w:vAlign w:val="center"/>
            <w:hideMark/>
          </w:tcPr>
          <w:p w14:paraId="435C3A0C"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0.026</w:t>
            </w:r>
          </w:p>
        </w:tc>
      </w:tr>
      <w:tr w:rsidR="00B668CC" w:rsidRPr="00B668CC" w14:paraId="478D4D4D" w14:textId="77777777">
        <w:trPr>
          <w:tblCellSpacing w:w="15" w:type="dxa"/>
        </w:trPr>
        <w:tc>
          <w:tcPr>
            <w:tcW w:w="0" w:type="auto"/>
            <w:vAlign w:val="center"/>
            <w:hideMark/>
          </w:tcPr>
          <w:p w14:paraId="5CA24A0F"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Excluding EBV serostatus</w:t>
            </w:r>
          </w:p>
        </w:tc>
        <w:tc>
          <w:tcPr>
            <w:tcW w:w="0" w:type="auto"/>
            <w:vAlign w:val="center"/>
            <w:hideMark/>
          </w:tcPr>
          <w:p w14:paraId="5900106B"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Age, sex, race/ethnicity, BMI, VAD use, transplant era</w:t>
            </w:r>
          </w:p>
        </w:tc>
        <w:tc>
          <w:tcPr>
            <w:tcW w:w="0" w:type="auto"/>
            <w:vAlign w:val="center"/>
            <w:hideMark/>
          </w:tcPr>
          <w:p w14:paraId="7282B315"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0.79 (0.65–0.97)</w:t>
            </w:r>
          </w:p>
        </w:tc>
        <w:tc>
          <w:tcPr>
            <w:tcW w:w="0" w:type="auto"/>
            <w:vAlign w:val="center"/>
            <w:hideMark/>
          </w:tcPr>
          <w:p w14:paraId="1B1D2125" w14:textId="77777777" w:rsidR="00B668CC" w:rsidRPr="00B668CC" w:rsidRDefault="00B668CC" w:rsidP="00B668CC">
            <w:pPr>
              <w:rPr>
                <w:rFonts w:ascii="Times New Roman" w:hAnsi="Times New Roman" w:cs="Times New Roman"/>
              </w:rPr>
            </w:pPr>
            <w:r w:rsidRPr="00B668CC">
              <w:rPr>
                <w:rFonts w:ascii="Times New Roman" w:hAnsi="Times New Roman" w:cs="Times New Roman"/>
              </w:rPr>
              <w:t>0.021</w:t>
            </w:r>
          </w:p>
        </w:tc>
      </w:tr>
    </w:tbl>
    <w:p w14:paraId="6F42702F" w14:textId="77777777" w:rsidR="00B668CC" w:rsidRDefault="00B668CC">
      <w:pPr>
        <w:rPr>
          <w:rFonts w:ascii="Times New Roman" w:hAnsi="Times New Roman" w:cs="Times New Roman"/>
        </w:rPr>
      </w:pPr>
    </w:p>
    <w:p w14:paraId="5A01FC3F" w14:textId="44504AF0" w:rsidR="00B668CC" w:rsidRDefault="00B668CC">
      <w:pPr>
        <w:rPr>
          <w:rFonts w:ascii="Times New Roman" w:hAnsi="Times New Roman" w:cs="Times New Roman"/>
        </w:rPr>
      </w:pPr>
      <w:r>
        <w:rPr>
          <w:rFonts w:ascii="Times New Roman" w:hAnsi="Times New Roman" w:cs="Times New Roman"/>
        </w:rPr>
        <w:t>(</w:t>
      </w:r>
      <w:r w:rsidRPr="00B668CC">
        <w:rPr>
          <w:rFonts w:ascii="Times New Roman" w:hAnsi="Times New Roman" w:cs="Times New Roman"/>
        </w:rPr>
        <w:t>Sensitivity analyses were performed to assess the impact of missing data on multivariable survival models. Complete case analyses excluded recipients with missing covariates. Additional models excluded Epstein–Barr virus (EBV) serostatus to evaluate robustness given higher missingness in pediatric recipients. Effect estimates were consistent across models, supporting the stability of the primary findings.</w:t>
      </w:r>
      <w:r>
        <w:rPr>
          <w:rFonts w:ascii="Times New Roman" w:hAnsi="Times New Roman" w:cs="Times New Roman"/>
        </w:rPr>
        <w:t>)</w:t>
      </w:r>
    </w:p>
    <w:p w14:paraId="7E383D29" w14:textId="4E8F372C" w:rsidR="00B518EF" w:rsidRDefault="00B518EF">
      <w:pPr>
        <w:rPr>
          <w:rFonts w:ascii="Times New Roman" w:hAnsi="Times New Roman" w:cs="Times New Roman"/>
        </w:rPr>
      </w:pPr>
      <w:r>
        <w:rPr>
          <w:rFonts w:ascii="Times New Roman" w:hAnsi="Times New Roman" w:cs="Times New Roman"/>
        </w:rPr>
        <w:br w:type="page"/>
      </w:r>
    </w:p>
    <w:p w14:paraId="62361E92" w14:textId="204E6C60" w:rsidR="008F5DAB" w:rsidRDefault="00616A67">
      <w:pPr>
        <w:rPr>
          <w:rFonts w:ascii="Times New Roman" w:hAnsi="Times New Roman" w:cs="Times New Roman"/>
        </w:rPr>
      </w:pPr>
      <w:r>
        <w:rPr>
          <w:noProof/>
        </w:rPr>
        <w:lastRenderedPageBreak/>
        <w:drawing>
          <wp:inline distT="0" distB="0" distL="0" distR="0" wp14:anchorId="389E50B6" wp14:editId="369214B4">
            <wp:extent cx="5700532" cy="5034412"/>
            <wp:effectExtent l="0" t="0" r="0" b="0"/>
            <wp:docPr id="2021549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8403" r="17916"/>
                    <a:stretch>
                      <a:fillRect/>
                    </a:stretch>
                  </pic:blipFill>
                  <pic:spPr bwMode="auto">
                    <a:xfrm>
                      <a:off x="0" y="0"/>
                      <a:ext cx="5718514" cy="5050292"/>
                    </a:xfrm>
                    <a:prstGeom prst="rect">
                      <a:avLst/>
                    </a:prstGeom>
                    <a:noFill/>
                    <a:ln>
                      <a:noFill/>
                    </a:ln>
                    <a:extLst>
                      <a:ext uri="{53640926-AAD7-44D8-BBD7-CCE9431645EC}">
                        <a14:shadowObscured xmlns:a14="http://schemas.microsoft.com/office/drawing/2010/main"/>
                      </a:ext>
                    </a:extLst>
                  </pic:spPr>
                </pic:pic>
              </a:graphicData>
            </a:graphic>
          </wp:inline>
        </w:drawing>
      </w:r>
    </w:p>
    <w:p w14:paraId="0F80598E" w14:textId="4E84FF7D" w:rsidR="00616A67" w:rsidRPr="00B668CC" w:rsidRDefault="00616A67">
      <w:pPr>
        <w:rPr>
          <w:rFonts w:ascii="Times New Roman" w:hAnsi="Times New Roman" w:cs="Times New Roman"/>
        </w:rPr>
      </w:pPr>
      <w:r w:rsidRPr="00616A67">
        <w:rPr>
          <w:rFonts w:ascii="Times New Roman" w:hAnsi="Times New Roman" w:cs="Times New Roman"/>
        </w:rPr>
        <w:t>(Flow diagram of study cohort selection from the UNOS registry. Consecutive first-time heart transplant recipients were screened, excluded based on predefined criteria, and classified into chemotherapy-induced dilated cardiomyopathy (CIDCM) and non-ischemic dilated cardiomyopathy (NIDCM) cohorts according to primary listing diagnosis.)</w:t>
      </w:r>
    </w:p>
    <w:sectPr w:rsidR="00616A67" w:rsidRPr="00B668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4D06" w14:textId="77777777" w:rsidR="00A45A7F" w:rsidRDefault="00A45A7F" w:rsidP="006858F2">
      <w:pPr>
        <w:spacing w:after="0" w:line="240" w:lineRule="auto"/>
      </w:pPr>
      <w:r>
        <w:separator/>
      </w:r>
    </w:p>
  </w:endnote>
  <w:endnote w:type="continuationSeparator" w:id="0">
    <w:p w14:paraId="395EFA64" w14:textId="77777777" w:rsidR="00A45A7F" w:rsidRDefault="00A45A7F" w:rsidP="0068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8594B" w14:textId="77777777" w:rsidR="00A45A7F" w:rsidRDefault="00A45A7F" w:rsidP="006858F2">
      <w:pPr>
        <w:spacing w:after="0" w:line="240" w:lineRule="auto"/>
      </w:pPr>
      <w:r>
        <w:separator/>
      </w:r>
    </w:p>
  </w:footnote>
  <w:footnote w:type="continuationSeparator" w:id="0">
    <w:p w14:paraId="5727EF0B" w14:textId="77777777" w:rsidR="00A45A7F" w:rsidRDefault="00A45A7F" w:rsidP="00685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4E1A"/>
    <w:multiLevelType w:val="hybridMultilevel"/>
    <w:tmpl w:val="179C3648"/>
    <w:lvl w:ilvl="0" w:tplc="B4662546">
      <w:start w:val="1"/>
      <w:numFmt w:val="bullet"/>
      <w:lvlText w:val=""/>
      <w:lvlJc w:val="left"/>
      <w:pPr>
        <w:tabs>
          <w:tab w:val="num" w:pos="720"/>
        </w:tabs>
        <w:ind w:left="720" w:hanging="360"/>
      </w:pPr>
      <w:rPr>
        <w:rFonts w:ascii="Wingdings" w:hAnsi="Wingdings" w:hint="default"/>
      </w:rPr>
    </w:lvl>
    <w:lvl w:ilvl="1" w:tplc="39FE3758" w:tentative="1">
      <w:start w:val="1"/>
      <w:numFmt w:val="bullet"/>
      <w:lvlText w:val=""/>
      <w:lvlJc w:val="left"/>
      <w:pPr>
        <w:tabs>
          <w:tab w:val="num" w:pos="1440"/>
        </w:tabs>
        <w:ind w:left="1440" w:hanging="360"/>
      </w:pPr>
      <w:rPr>
        <w:rFonts w:ascii="Wingdings" w:hAnsi="Wingdings" w:hint="default"/>
      </w:rPr>
    </w:lvl>
    <w:lvl w:ilvl="2" w:tplc="7A5C8F30" w:tentative="1">
      <w:start w:val="1"/>
      <w:numFmt w:val="bullet"/>
      <w:lvlText w:val=""/>
      <w:lvlJc w:val="left"/>
      <w:pPr>
        <w:tabs>
          <w:tab w:val="num" w:pos="2160"/>
        </w:tabs>
        <w:ind w:left="2160" w:hanging="360"/>
      </w:pPr>
      <w:rPr>
        <w:rFonts w:ascii="Wingdings" w:hAnsi="Wingdings" w:hint="default"/>
      </w:rPr>
    </w:lvl>
    <w:lvl w:ilvl="3" w:tplc="BE8EE9DC" w:tentative="1">
      <w:start w:val="1"/>
      <w:numFmt w:val="bullet"/>
      <w:lvlText w:val=""/>
      <w:lvlJc w:val="left"/>
      <w:pPr>
        <w:tabs>
          <w:tab w:val="num" w:pos="2880"/>
        </w:tabs>
        <w:ind w:left="2880" w:hanging="360"/>
      </w:pPr>
      <w:rPr>
        <w:rFonts w:ascii="Wingdings" w:hAnsi="Wingdings" w:hint="default"/>
      </w:rPr>
    </w:lvl>
    <w:lvl w:ilvl="4" w:tplc="1F8A4028" w:tentative="1">
      <w:start w:val="1"/>
      <w:numFmt w:val="bullet"/>
      <w:lvlText w:val=""/>
      <w:lvlJc w:val="left"/>
      <w:pPr>
        <w:tabs>
          <w:tab w:val="num" w:pos="3600"/>
        </w:tabs>
        <w:ind w:left="3600" w:hanging="360"/>
      </w:pPr>
      <w:rPr>
        <w:rFonts w:ascii="Wingdings" w:hAnsi="Wingdings" w:hint="default"/>
      </w:rPr>
    </w:lvl>
    <w:lvl w:ilvl="5" w:tplc="8A16DA30" w:tentative="1">
      <w:start w:val="1"/>
      <w:numFmt w:val="bullet"/>
      <w:lvlText w:val=""/>
      <w:lvlJc w:val="left"/>
      <w:pPr>
        <w:tabs>
          <w:tab w:val="num" w:pos="4320"/>
        </w:tabs>
        <w:ind w:left="4320" w:hanging="360"/>
      </w:pPr>
      <w:rPr>
        <w:rFonts w:ascii="Wingdings" w:hAnsi="Wingdings" w:hint="default"/>
      </w:rPr>
    </w:lvl>
    <w:lvl w:ilvl="6" w:tplc="E17AAAE2" w:tentative="1">
      <w:start w:val="1"/>
      <w:numFmt w:val="bullet"/>
      <w:lvlText w:val=""/>
      <w:lvlJc w:val="left"/>
      <w:pPr>
        <w:tabs>
          <w:tab w:val="num" w:pos="5040"/>
        </w:tabs>
        <w:ind w:left="5040" w:hanging="360"/>
      </w:pPr>
      <w:rPr>
        <w:rFonts w:ascii="Wingdings" w:hAnsi="Wingdings" w:hint="default"/>
      </w:rPr>
    </w:lvl>
    <w:lvl w:ilvl="7" w:tplc="241CCF88" w:tentative="1">
      <w:start w:val="1"/>
      <w:numFmt w:val="bullet"/>
      <w:lvlText w:val=""/>
      <w:lvlJc w:val="left"/>
      <w:pPr>
        <w:tabs>
          <w:tab w:val="num" w:pos="5760"/>
        </w:tabs>
        <w:ind w:left="5760" w:hanging="360"/>
      </w:pPr>
      <w:rPr>
        <w:rFonts w:ascii="Wingdings" w:hAnsi="Wingdings" w:hint="default"/>
      </w:rPr>
    </w:lvl>
    <w:lvl w:ilvl="8" w:tplc="465E08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22CE8"/>
    <w:multiLevelType w:val="hybridMultilevel"/>
    <w:tmpl w:val="67523B56"/>
    <w:lvl w:ilvl="0" w:tplc="B0F43372">
      <w:start w:val="1"/>
      <w:numFmt w:val="bullet"/>
      <w:lvlText w:val=""/>
      <w:lvlJc w:val="left"/>
      <w:pPr>
        <w:tabs>
          <w:tab w:val="num" w:pos="720"/>
        </w:tabs>
        <w:ind w:left="720" w:hanging="360"/>
      </w:pPr>
      <w:rPr>
        <w:rFonts w:ascii="Wingdings" w:hAnsi="Wingdings" w:hint="default"/>
      </w:rPr>
    </w:lvl>
    <w:lvl w:ilvl="1" w:tplc="E28A579E" w:tentative="1">
      <w:start w:val="1"/>
      <w:numFmt w:val="bullet"/>
      <w:lvlText w:val=""/>
      <w:lvlJc w:val="left"/>
      <w:pPr>
        <w:tabs>
          <w:tab w:val="num" w:pos="1440"/>
        </w:tabs>
        <w:ind w:left="1440" w:hanging="360"/>
      </w:pPr>
      <w:rPr>
        <w:rFonts w:ascii="Wingdings" w:hAnsi="Wingdings" w:hint="default"/>
      </w:rPr>
    </w:lvl>
    <w:lvl w:ilvl="2" w:tplc="A1D847B4" w:tentative="1">
      <w:start w:val="1"/>
      <w:numFmt w:val="bullet"/>
      <w:lvlText w:val=""/>
      <w:lvlJc w:val="left"/>
      <w:pPr>
        <w:tabs>
          <w:tab w:val="num" w:pos="2160"/>
        </w:tabs>
        <w:ind w:left="2160" w:hanging="360"/>
      </w:pPr>
      <w:rPr>
        <w:rFonts w:ascii="Wingdings" w:hAnsi="Wingdings" w:hint="default"/>
      </w:rPr>
    </w:lvl>
    <w:lvl w:ilvl="3" w:tplc="2042DDE0" w:tentative="1">
      <w:start w:val="1"/>
      <w:numFmt w:val="bullet"/>
      <w:lvlText w:val=""/>
      <w:lvlJc w:val="left"/>
      <w:pPr>
        <w:tabs>
          <w:tab w:val="num" w:pos="2880"/>
        </w:tabs>
        <w:ind w:left="2880" w:hanging="360"/>
      </w:pPr>
      <w:rPr>
        <w:rFonts w:ascii="Wingdings" w:hAnsi="Wingdings" w:hint="default"/>
      </w:rPr>
    </w:lvl>
    <w:lvl w:ilvl="4" w:tplc="8AEC13A4" w:tentative="1">
      <w:start w:val="1"/>
      <w:numFmt w:val="bullet"/>
      <w:lvlText w:val=""/>
      <w:lvlJc w:val="left"/>
      <w:pPr>
        <w:tabs>
          <w:tab w:val="num" w:pos="3600"/>
        </w:tabs>
        <w:ind w:left="3600" w:hanging="360"/>
      </w:pPr>
      <w:rPr>
        <w:rFonts w:ascii="Wingdings" w:hAnsi="Wingdings" w:hint="default"/>
      </w:rPr>
    </w:lvl>
    <w:lvl w:ilvl="5" w:tplc="FBBAAFFA" w:tentative="1">
      <w:start w:val="1"/>
      <w:numFmt w:val="bullet"/>
      <w:lvlText w:val=""/>
      <w:lvlJc w:val="left"/>
      <w:pPr>
        <w:tabs>
          <w:tab w:val="num" w:pos="4320"/>
        </w:tabs>
        <w:ind w:left="4320" w:hanging="360"/>
      </w:pPr>
      <w:rPr>
        <w:rFonts w:ascii="Wingdings" w:hAnsi="Wingdings" w:hint="default"/>
      </w:rPr>
    </w:lvl>
    <w:lvl w:ilvl="6" w:tplc="AC50F29A" w:tentative="1">
      <w:start w:val="1"/>
      <w:numFmt w:val="bullet"/>
      <w:lvlText w:val=""/>
      <w:lvlJc w:val="left"/>
      <w:pPr>
        <w:tabs>
          <w:tab w:val="num" w:pos="5040"/>
        </w:tabs>
        <w:ind w:left="5040" w:hanging="360"/>
      </w:pPr>
      <w:rPr>
        <w:rFonts w:ascii="Wingdings" w:hAnsi="Wingdings" w:hint="default"/>
      </w:rPr>
    </w:lvl>
    <w:lvl w:ilvl="7" w:tplc="9E6E55AC" w:tentative="1">
      <w:start w:val="1"/>
      <w:numFmt w:val="bullet"/>
      <w:lvlText w:val=""/>
      <w:lvlJc w:val="left"/>
      <w:pPr>
        <w:tabs>
          <w:tab w:val="num" w:pos="5760"/>
        </w:tabs>
        <w:ind w:left="5760" w:hanging="360"/>
      </w:pPr>
      <w:rPr>
        <w:rFonts w:ascii="Wingdings" w:hAnsi="Wingdings" w:hint="default"/>
      </w:rPr>
    </w:lvl>
    <w:lvl w:ilvl="8" w:tplc="1EB6AB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7"/>
    <w:rsid w:val="000209BB"/>
    <w:rsid w:val="00043C27"/>
    <w:rsid w:val="000F707F"/>
    <w:rsid w:val="001425EB"/>
    <w:rsid w:val="00616A67"/>
    <w:rsid w:val="006534B0"/>
    <w:rsid w:val="006858F2"/>
    <w:rsid w:val="008F5DAB"/>
    <w:rsid w:val="00A45A7F"/>
    <w:rsid w:val="00B35F8B"/>
    <w:rsid w:val="00B518EF"/>
    <w:rsid w:val="00B668CC"/>
    <w:rsid w:val="00B86C18"/>
    <w:rsid w:val="00CD5EF1"/>
    <w:rsid w:val="00DA2AD7"/>
    <w:rsid w:val="00E2612B"/>
    <w:rsid w:val="00E9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6BDA4"/>
  <w15:chartTrackingRefBased/>
  <w15:docId w15:val="{DA7F0CAC-B748-4AC4-95FD-514D03A4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43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3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3C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3C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3C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3C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3C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3C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3C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C2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43C2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43C2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43C27"/>
    <w:rPr>
      <w:rFonts w:eastAsiaTheme="majorEastAsia" w:cstheme="majorBidi"/>
      <w:i/>
      <w:iCs/>
      <w:color w:val="0F4761" w:themeColor="accent1" w:themeShade="BF"/>
    </w:rPr>
  </w:style>
  <w:style w:type="character" w:customStyle="1" w:styleId="50">
    <w:name w:val="标题 5 字符"/>
    <w:basedOn w:val="a0"/>
    <w:link w:val="5"/>
    <w:uiPriority w:val="9"/>
    <w:semiHidden/>
    <w:rsid w:val="00043C27"/>
    <w:rPr>
      <w:rFonts w:eastAsiaTheme="majorEastAsia" w:cstheme="majorBidi"/>
      <w:color w:val="0F4761" w:themeColor="accent1" w:themeShade="BF"/>
    </w:rPr>
  </w:style>
  <w:style w:type="character" w:customStyle="1" w:styleId="60">
    <w:name w:val="标题 6 字符"/>
    <w:basedOn w:val="a0"/>
    <w:link w:val="6"/>
    <w:uiPriority w:val="9"/>
    <w:semiHidden/>
    <w:rsid w:val="00043C27"/>
    <w:rPr>
      <w:rFonts w:eastAsiaTheme="majorEastAsia" w:cstheme="majorBidi"/>
      <w:i/>
      <w:iCs/>
      <w:color w:val="595959" w:themeColor="text1" w:themeTint="A6"/>
    </w:rPr>
  </w:style>
  <w:style w:type="character" w:customStyle="1" w:styleId="70">
    <w:name w:val="标题 7 字符"/>
    <w:basedOn w:val="a0"/>
    <w:link w:val="7"/>
    <w:uiPriority w:val="9"/>
    <w:semiHidden/>
    <w:rsid w:val="00043C27"/>
    <w:rPr>
      <w:rFonts w:eastAsiaTheme="majorEastAsia" w:cstheme="majorBidi"/>
      <w:color w:val="595959" w:themeColor="text1" w:themeTint="A6"/>
    </w:rPr>
  </w:style>
  <w:style w:type="character" w:customStyle="1" w:styleId="80">
    <w:name w:val="标题 8 字符"/>
    <w:basedOn w:val="a0"/>
    <w:link w:val="8"/>
    <w:uiPriority w:val="9"/>
    <w:semiHidden/>
    <w:rsid w:val="00043C27"/>
    <w:rPr>
      <w:rFonts w:eastAsiaTheme="majorEastAsia" w:cstheme="majorBidi"/>
      <w:i/>
      <w:iCs/>
      <w:color w:val="272727" w:themeColor="text1" w:themeTint="D8"/>
    </w:rPr>
  </w:style>
  <w:style w:type="character" w:customStyle="1" w:styleId="90">
    <w:name w:val="标题 9 字符"/>
    <w:basedOn w:val="a0"/>
    <w:link w:val="9"/>
    <w:uiPriority w:val="9"/>
    <w:semiHidden/>
    <w:rsid w:val="00043C27"/>
    <w:rPr>
      <w:rFonts w:eastAsiaTheme="majorEastAsia" w:cstheme="majorBidi"/>
      <w:color w:val="272727" w:themeColor="text1" w:themeTint="D8"/>
    </w:rPr>
  </w:style>
  <w:style w:type="paragraph" w:styleId="a3">
    <w:name w:val="Title"/>
    <w:basedOn w:val="a"/>
    <w:next w:val="a"/>
    <w:link w:val="a4"/>
    <w:uiPriority w:val="10"/>
    <w:qFormat/>
    <w:rsid w:val="00043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C2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43C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3C27"/>
    <w:pPr>
      <w:spacing w:before="160"/>
      <w:jc w:val="center"/>
    </w:pPr>
    <w:rPr>
      <w:i/>
      <w:iCs/>
      <w:color w:val="404040" w:themeColor="text1" w:themeTint="BF"/>
    </w:rPr>
  </w:style>
  <w:style w:type="character" w:customStyle="1" w:styleId="a8">
    <w:name w:val="引用 字符"/>
    <w:basedOn w:val="a0"/>
    <w:link w:val="a7"/>
    <w:uiPriority w:val="29"/>
    <w:rsid w:val="00043C27"/>
    <w:rPr>
      <w:i/>
      <w:iCs/>
      <w:color w:val="404040" w:themeColor="text1" w:themeTint="BF"/>
    </w:rPr>
  </w:style>
  <w:style w:type="paragraph" w:styleId="a9">
    <w:name w:val="List Paragraph"/>
    <w:basedOn w:val="a"/>
    <w:uiPriority w:val="34"/>
    <w:qFormat/>
    <w:rsid w:val="00043C27"/>
    <w:pPr>
      <w:ind w:left="720"/>
      <w:contextualSpacing/>
    </w:pPr>
  </w:style>
  <w:style w:type="character" w:styleId="aa">
    <w:name w:val="Intense Emphasis"/>
    <w:basedOn w:val="a0"/>
    <w:uiPriority w:val="21"/>
    <w:qFormat/>
    <w:rsid w:val="00043C27"/>
    <w:rPr>
      <w:i/>
      <w:iCs/>
      <w:color w:val="0F4761" w:themeColor="accent1" w:themeShade="BF"/>
    </w:rPr>
  </w:style>
  <w:style w:type="paragraph" w:styleId="ab">
    <w:name w:val="Intense Quote"/>
    <w:basedOn w:val="a"/>
    <w:next w:val="a"/>
    <w:link w:val="ac"/>
    <w:uiPriority w:val="30"/>
    <w:qFormat/>
    <w:rsid w:val="0004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3C27"/>
    <w:rPr>
      <w:i/>
      <w:iCs/>
      <w:color w:val="0F4761" w:themeColor="accent1" w:themeShade="BF"/>
    </w:rPr>
  </w:style>
  <w:style w:type="character" w:styleId="ad">
    <w:name w:val="Intense Reference"/>
    <w:basedOn w:val="a0"/>
    <w:uiPriority w:val="32"/>
    <w:qFormat/>
    <w:rsid w:val="00043C27"/>
    <w:rPr>
      <w:b/>
      <w:bCs/>
      <w:smallCaps/>
      <w:color w:val="0F4761" w:themeColor="accent1" w:themeShade="BF"/>
      <w:spacing w:val="5"/>
    </w:rPr>
  </w:style>
  <w:style w:type="paragraph" w:styleId="ae">
    <w:name w:val="header"/>
    <w:basedOn w:val="a"/>
    <w:link w:val="af"/>
    <w:uiPriority w:val="99"/>
    <w:unhideWhenUsed/>
    <w:rsid w:val="006858F2"/>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858F2"/>
    <w:rPr>
      <w:sz w:val="18"/>
      <w:szCs w:val="18"/>
    </w:rPr>
  </w:style>
  <w:style w:type="paragraph" w:styleId="af0">
    <w:name w:val="footer"/>
    <w:basedOn w:val="a"/>
    <w:link w:val="af1"/>
    <w:uiPriority w:val="99"/>
    <w:unhideWhenUsed/>
    <w:rsid w:val="006858F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858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bibhuti das</dc:creator>
  <cp:keywords/>
  <dc:description/>
  <cp:lastModifiedBy>Claire</cp:lastModifiedBy>
  <cp:revision>6</cp:revision>
  <dcterms:created xsi:type="dcterms:W3CDTF">2026-01-15T01:47:00Z</dcterms:created>
  <dcterms:modified xsi:type="dcterms:W3CDTF">2026-02-03T02:42:00Z</dcterms:modified>
</cp:coreProperties>
</file>